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Planeación de aula.</w:t>
      </w:r>
    </w:p>
    <w:tbl>
      <w:tblPr>
        <w:tblStyle w:val="Table1"/>
        <w:tblW w:w="94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885"/>
        <w:gridCol w:w="2615"/>
        <w:gridCol w:w="2505"/>
        <w:tblGridChange w:id="0">
          <w:tblGrid>
            <w:gridCol w:w="2405"/>
            <w:gridCol w:w="1885"/>
            <w:gridCol w:w="2615"/>
            <w:gridCol w:w="2505"/>
          </w:tblGrid>
        </w:tblGridChange>
      </w:tblGrid>
      <w:tr>
        <w:trPr>
          <w:cantSplit w:val="0"/>
          <w:trHeight w:val="265" w:hRule="atLeast"/>
          <w:tblHeader w:val="0"/>
        </w:trPr>
        <w:tc>
          <w:tcPr>
            <w:shd w:fill="9cc3e5" w:val="clear"/>
          </w:tcPr>
          <w:p w:rsidR="00000000" w:rsidDel="00000000" w:rsidP="00000000" w:rsidRDefault="00000000" w:rsidRPr="00000000" w14:paraId="00000002">
            <w:pPr>
              <w:rPr>
                <w:b w:val="1"/>
              </w:rPr>
            </w:pPr>
            <w:r w:rsidDel="00000000" w:rsidR="00000000" w:rsidRPr="00000000">
              <w:rPr>
                <w:b w:val="1"/>
                <w:rtl w:val="0"/>
              </w:rPr>
              <w:t xml:space="preserve">Grado:3°</w:t>
            </w:r>
          </w:p>
        </w:tc>
        <w:tc>
          <w:tcPr>
            <w:gridSpan w:val="2"/>
            <w:shd w:fill="9cc3e5" w:val="clear"/>
          </w:tcPr>
          <w:p w:rsidR="00000000" w:rsidDel="00000000" w:rsidP="00000000" w:rsidRDefault="00000000" w:rsidRPr="00000000" w14:paraId="00000003">
            <w:pPr>
              <w:rPr>
                <w:b w:val="1"/>
              </w:rPr>
            </w:pPr>
            <w:r w:rsidDel="00000000" w:rsidR="00000000" w:rsidRPr="00000000">
              <w:rPr>
                <w:b w:val="1"/>
                <w:rtl w:val="0"/>
              </w:rPr>
              <w:t xml:space="preserve">Área/Asignatura:     ESTADISTICA</w:t>
            </w:r>
          </w:p>
        </w:tc>
        <w:tc>
          <w:tcPr>
            <w:shd w:fill="9cc3e5" w:val="clear"/>
          </w:tcPr>
          <w:p w:rsidR="00000000" w:rsidDel="00000000" w:rsidP="00000000" w:rsidRDefault="00000000" w:rsidRPr="00000000" w14:paraId="00000005">
            <w:pPr>
              <w:rPr>
                <w:b w:val="1"/>
              </w:rPr>
            </w:pPr>
            <w:r w:rsidDel="00000000" w:rsidR="00000000" w:rsidRPr="00000000">
              <w:rPr>
                <w:b w:val="1"/>
                <w:rtl w:val="0"/>
              </w:rPr>
              <w:t xml:space="preserve">Fecha : febrero 2023</w:t>
            </w:r>
          </w:p>
        </w:tc>
      </w:tr>
      <w:tr>
        <w:trPr>
          <w:cantSplit w:val="0"/>
          <w:trHeight w:val="250" w:hRule="atLeast"/>
          <w:tblHeader w:val="0"/>
        </w:trPr>
        <w:tc>
          <w:tcPr>
            <w:gridSpan w:val="4"/>
            <w:shd w:fill="9cc3e5" w:val="clear"/>
          </w:tcPr>
          <w:p w:rsidR="00000000" w:rsidDel="00000000" w:rsidP="00000000" w:rsidRDefault="00000000" w:rsidRPr="00000000" w14:paraId="00000006">
            <w:pPr>
              <w:rPr>
                <w:b w:val="1"/>
              </w:rPr>
            </w:pPr>
            <w:r w:rsidDel="00000000" w:rsidR="00000000" w:rsidRPr="00000000">
              <w:rPr>
                <w:b w:val="1"/>
                <w:rtl w:val="0"/>
              </w:rPr>
              <w:t xml:space="preserve">Docente / C.D.A.: Manuel Francisco García </w:t>
            </w:r>
          </w:p>
        </w:tc>
      </w:tr>
      <w:tr>
        <w:trPr>
          <w:cantSplit w:val="0"/>
          <w:trHeight w:val="250" w:hRule="atLeast"/>
          <w:tblHeader w:val="0"/>
        </w:trPr>
        <w:tc>
          <w:tcPr>
            <w:gridSpan w:val="2"/>
            <w:shd w:fill="9cc3e5" w:val="clear"/>
          </w:tcPr>
          <w:p w:rsidR="00000000" w:rsidDel="00000000" w:rsidP="00000000" w:rsidRDefault="00000000" w:rsidRPr="00000000" w14:paraId="0000000A">
            <w:pPr>
              <w:rPr>
                <w:b w:val="1"/>
              </w:rPr>
            </w:pPr>
            <w:r w:rsidDel="00000000" w:rsidR="00000000" w:rsidRPr="00000000">
              <w:rPr>
                <w:b w:val="1"/>
                <w:rtl w:val="0"/>
              </w:rPr>
              <w:t xml:space="preserve">Sede:  Cicuquito </w:t>
            </w:r>
          </w:p>
        </w:tc>
        <w:tc>
          <w:tcPr>
            <w:gridSpan w:val="2"/>
            <w:shd w:fill="9cc3e5" w:val="clear"/>
          </w:tcPr>
          <w:p w:rsidR="00000000" w:rsidDel="00000000" w:rsidP="00000000" w:rsidRDefault="00000000" w:rsidRPr="00000000" w14:paraId="0000000C">
            <w:pPr>
              <w:rPr>
                <w:b w:val="1"/>
              </w:rPr>
            </w:pPr>
            <w:r w:rsidDel="00000000" w:rsidR="00000000" w:rsidRPr="00000000">
              <w:rPr>
                <w:b w:val="1"/>
                <w:rtl w:val="0"/>
              </w:rPr>
              <w:t xml:space="preserve"> Periodo Académico:  PRIMERO</w:t>
            </w:r>
          </w:p>
        </w:tc>
      </w:tr>
      <w:tr>
        <w:trPr>
          <w:cantSplit w:val="0"/>
          <w:trHeight w:val="250" w:hRule="atLeast"/>
          <w:tblHeader w:val="0"/>
        </w:trPr>
        <w:tc>
          <w:tcPr>
            <w:gridSpan w:val="4"/>
            <w:shd w:fill="9cc3e5" w:val="clear"/>
          </w:tcPr>
          <w:p w:rsidR="00000000" w:rsidDel="00000000" w:rsidP="00000000" w:rsidRDefault="00000000" w:rsidRPr="00000000" w14:paraId="0000000E">
            <w:pPr>
              <w:rPr>
                <w:b w:val="1"/>
              </w:rPr>
            </w:pPr>
            <w:r w:rsidDel="00000000" w:rsidR="00000000" w:rsidRPr="00000000">
              <w:rPr>
                <w:b w:val="1"/>
                <w:rtl w:val="0"/>
              </w:rPr>
              <w:t xml:space="preserve">Eje temático:   1-Pictogrmas   2- Diagrama de Barras    3-Tabla de Datos.                                </w:t>
            </w:r>
          </w:p>
        </w:tc>
      </w:tr>
      <w:tr>
        <w:trPr>
          <w:cantSplit w:val="0"/>
          <w:trHeight w:val="288" w:hRule="atLeast"/>
          <w:tblHeader w:val="0"/>
        </w:trPr>
        <w:tc>
          <w:tcPr>
            <w:gridSpan w:val="4"/>
            <w:shd w:fill="9cc3e5" w:val="clear"/>
          </w:tcPr>
          <w:p w:rsidR="00000000" w:rsidDel="00000000" w:rsidP="00000000" w:rsidRDefault="00000000" w:rsidRPr="00000000" w14:paraId="00000012">
            <w:pPr>
              <w:rPr>
                <w:b w:val="1"/>
              </w:rPr>
            </w:pPr>
            <w:r w:rsidDel="00000000" w:rsidR="00000000" w:rsidRPr="00000000">
              <w:rPr>
                <w:b w:val="1"/>
                <w:rtl w:val="0"/>
              </w:rPr>
              <w:t xml:space="preserve">Tiempo de Ejecución: Seis (6) días</w:t>
            </w:r>
          </w:p>
        </w:tc>
      </w:tr>
    </w:tbl>
    <w:p w:rsidR="00000000" w:rsidDel="00000000" w:rsidP="00000000" w:rsidRDefault="00000000" w:rsidRPr="00000000" w14:paraId="00000016">
      <w:pPr>
        <w:rPr>
          <w:rFonts w:ascii="Arial Black" w:cs="Arial Black" w:eastAsia="Arial Black" w:hAnsi="Arial Black"/>
        </w:rPr>
      </w:pPr>
      <w:r w:rsidDel="00000000" w:rsidR="00000000" w:rsidRPr="00000000">
        <w:rPr>
          <w:rFonts w:ascii="Arial Black" w:cs="Arial Black" w:eastAsia="Arial Black" w:hAnsi="Arial Black"/>
          <w:rtl w:val="0"/>
        </w:rPr>
        <w:t xml:space="preserve">Identificación</w:t>
      </w:r>
    </w:p>
    <w:p w:rsidR="00000000" w:rsidDel="00000000" w:rsidP="00000000" w:rsidRDefault="00000000" w:rsidRPr="00000000" w14:paraId="00000017">
      <w:pPr>
        <w:spacing w:after="0" w:lineRule="auto"/>
        <w:rPr>
          <w:rFonts w:ascii="Arial Black" w:cs="Arial Black" w:eastAsia="Arial Black" w:hAnsi="Arial Black"/>
        </w:rPr>
      </w:pPr>
      <w:r w:rsidDel="00000000" w:rsidR="00000000" w:rsidRPr="00000000">
        <w:rPr>
          <w:rFonts w:ascii="Arial Black" w:cs="Arial Black" w:eastAsia="Arial Black" w:hAnsi="Arial Black"/>
          <w:rtl w:val="0"/>
        </w:rPr>
        <w:t xml:space="preserve">Aprendizajes </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rHeight w:val="240" w:hRule="atLeast"/>
          <w:tblHeader w:val="0"/>
        </w:trPr>
        <w:tc>
          <w:tcPr>
            <w:shd w:fill="9cc3e5" w:val="clear"/>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Objetivos de aprendizajes</w:t>
            </w:r>
          </w:p>
        </w:tc>
      </w:tr>
      <w:tr>
        <w:trPr>
          <w:cantSplit w:val="0"/>
          <w:trHeight w:val="1078" w:hRule="atLeast"/>
          <w:tblHeader w:val="0"/>
        </w:trPr>
        <w:tc>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Identificar  que son Graficas e interpretar el significado de los datos que contienen.</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Realizar estimaciones y cálculo a partir de información contenida en Graficas y tablas de conteo. </w:t>
            </w:r>
          </w:p>
        </w:tc>
      </w:tr>
      <w:tr>
        <w:trPr>
          <w:cantSplit w:val="0"/>
          <w:trHeight w:val="225" w:hRule="atLeast"/>
          <w:tblHeader w:val="0"/>
        </w:trPr>
        <w:tc>
          <w:tcPr>
            <w:shd w:fill="9cc3e5" w:val="clear"/>
          </w:tcPr>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b w:val="1"/>
                <w:color w:val="000000"/>
                <w:sz w:val="20"/>
                <w:szCs w:val="20"/>
                <w:rtl w:val="0"/>
              </w:rPr>
              <w:t xml:space="preserve">Referentes curriculares (EBC, DBA, Matriz de Referencia, Mallas de Aprendizaje)</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PENSAMIENTO ALEATORIO Y SISTEMAS DE DATOS. </w:t>
            </w:r>
          </w:p>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Clasifico y organizo datos de acuerdo a cualidades y atributos y los presento en tablas.</w:t>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DBA 10 Clasifica y organiza datos, los representa utilizando tablas de conteo, pictogramas con escalas y gráficos de puntos, comunica los resultados obtenidos para responder preguntas sencillas. </w:t>
            </w:r>
          </w:p>
        </w:tc>
      </w:tr>
      <w:tr>
        <w:trPr>
          <w:cantSplit w:val="0"/>
          <w:trHeight w:val="270" w:hRule="atLeast"/>
          <w:tblHeader w:val="0"/>
        </w:trPr>
        <w:tc>
          <w:tcPr>
            <w:shd w:fill="9cc3e5" w:val="clear"/>
          </w:tcPr>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Evidencias de Aprendizajes / Desempeños Esperados </w:t>
            </w:r>
          </w:p>
        </w:tc>
      </w:tr>
      <w:tr>
        <w:trPr>
          <w:cantSplit w:val="0"/>
          <w:trHeight w:val="1155"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 los datos en tablas de conteo y en pictogramas con escala (uno o muchos).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Lee la información presentada en tablas de conteo, pictogramas con escala y gráficos de puntos.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 los resultados respondiendo preguntas tales como: ¿Cuántos hay en total?, ¿Cuántos hay de cada dato?, ¿Cuál es el dato que más se repite? ¿Cuál es el dato que menos se repite? </w:t>
            </w:r>
          </w:p>
        </w:tc>
      </w:tr>
      <w:tr>
        <w:trPr>
          <w:cantSplit w:val="0"/>
          <w:trHeight w:val="316" w:hRule="atLeast"/>
          <w:tblHeader w:val="0"/>
        </w:trPr>
        <w:tc>
          <w:tcPr>
            <w:shd w:fill="9cc3e5" w:val="clear"/>
          </w:tcPr>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Recursos y materiales </w:t>
            </w:r>
          </w:p>
        </w:tc>
      </w:tr>
      <w:tr>
        <w:trPr>
          <w:cantSplit w:val="0"/>
          <w:trHeight w:val="423" w:hRule="atLeast"/>
          <w:tblHeader w:val="0"/>
        </w:trPr>
        <w:tc>
          <w:tcPr/>
          <w:p w:rsidR="00000000" w:rsidDel="00000000" w:rsidP="00000000" w:rsidRDefault="00000000" w:rsidRPr="00000000" w14:paraId="00000024">
            <w:pPr>
              <w:jc w:val="both"/>
              <w:rPr>
                <w:sz w:val="20"/>
                <w:szCs w:val="20"/>
              </w:rPr>
            </w:pPr>
            <w:r w:rsidDel="00000000" w:rsidR="00000000" w:rsidRPr="00000000">
              <w:rPr>
                <w:sz w:val="20"/>
                <w:szCs w:val="20"/>
                <w:rtl w:val="0"/>
              </w:rPr>
              <w:t xml:space="preserve">-Fotocopias   -Regla   -Colores  - Materiales del medio   -Marcadores    -Tablero</w:t>
            </w:r>
          </w:p>
        </w:tc>
      </w:tr>
    </w:tbl>
    <w:p w:rsidR="00000000" w:rsidDel="00000000" w:rsidP="00000000" w:rsidRDefault="00000000" w:rsidRPr="00000000" w14:paraId="00000025">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6">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7">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8">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9">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A">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B">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C">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D">
      <w:pPr>
        <w:spacing w:after="0" w:lineRule="auto"/>
        <w:rPr>
          <w:rFonts w:ascii="Arial Black" w:cs="Arial Black" w:eastAsia="Arial Black" w:hAnsi="Arial Black"/>
        </w:rPr>
      </w:pPr>
      <w:r w:rsidDel="00000000" w:rsidR="00000000" w:rsidRPr="00000000">
        <w:rPr>
          <w:rFonts w:ascii="Arial Black" w:cs="Arial Black" w:eastAsia="Arial Black" w:hAnsi="Arial Black"/>
          <w:rtl w:val="0"/>
        </w:rPr>
        <w:t xml:space="preserve">Momentos de la clase</w:t>
      </w:r>
    </w:p>
    <w:p w:rsidR="00000000" w:rsidDel="00000000" w:rsidP="00000000" w:rsidRDefault="00000000" w:rsidRPr="00000000" w14:paraId="0000002E">
      <w:pPr>
        <w:spacing w:after="0" w:lineRule="auto"/>
        <w:rPr>
          <w:rFonts w:ascii="Arial Black" w:cs="Arial Black" w:eastAsia="Arial Black" w:hAnsi="Arial Black"/>
        </w:rPr>
      </w:pPr>
      <w:r w:rsidDel="00000000" w:rsidR="00000000" w:rsidRPr="00000000">
        <w:rPr>
          <w:rtl w:val="0"/>
        </w:rPr>
      </w:r>
    </w:p>
    <w:tbl>
      <w:tblPr>
        <w:tblStyle w:val="Table3"/>
        <w:tblW w:w="94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2"/>
        <w:tblGridChange w:id="0">
          <w:tblGrid>
            <w:gridCol w:w="9412"/>
          </w:tblGrid>
        </w:tblGridChange>
      </w:tblGrid>
      <w:tr>
        <w:trPr>
          <w:cantSplit w:val="0"/>
          <w:trHeight w:val="271" w:hRule="atLeast"/>
          <w:tblHeader w:val="0"/>
        </w:trPr>
        <w:tc>
          <w:tcPr>
            <w:shd w:fill="9cc3e5" w:val="clear"/>
          </w:tcPr>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Inicio /exploración de saberes previos</w:t>
            </w:r>
          </w:p>
        </w:tc>
      </w:tr>
      <w:tr>
        <w:trPr>
          <w:cantSplit w:val="0"/>
          <w:trHeight w:val="285" w:hRule="atLeast"/>
          <w:tblHeader w:val="0"/>
        </w:trPr>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Proponemos a los estudiantes que piensen que hace la mama o cualquier otro miembro de la familia cuando va a comprar un par de zapatos. Que tiene en cuenta, pensara en el color en la forma si lo ve bastante por donde pasa, si casi no se lo ve en otras partes. De que material es, que más lo venden y si tiene marca registrada o no la tiene. Pretendemos establecer que existen unas condiciones que van ligadas a los gustos de las personas y por tanto estas condiciones se pueden estudiar para aquellos que venden un producto tengan la oportunidad de vender más porque corresponde con el gusto de muchas personas.</w:t>
            </w:r>
          </w:p>
          <w:p w:rsidR="00000000" w:rsidDel="00000000" w:rsidP="00000000" w:rsidRDefault="00000000" w:rsidRPr="00000000" w14:paraId="00000031">
            <w:pPr>
              <w:rPr>
                <w:rFonts w:ascii="Arial Black" w:cs="Arial Black" w:eastAsia="Arial Black" w:hAnsi="Arial Black"/>
              </w:rPr>
            </w:pPr>
            <w:r w:rsidDel="00000000" w:rsidR="00000000" w:rsidRPr="00000000">
              <w:rPr>
                <w:rFonts w:ascii="Arial Black" w:cs="Arial Black" w:eastAsia="Arial Black" w:hAnsi="Arial Black"/>
                <w:rtl w:val="0"/>
              </w:rPr>
              <w:t xml:space="preserve">5 minutos</w:t>
            </w:r>
          </w:p>
        </w:tc>
      </w:tr>
      <w:tr>
        <w:trPr>
          <w:cantSplit w:val="0"/>
          <w:trHeight w:val="271" w:hRule="atLeast"/>
          <w:tblHeader w:val="0"/>
        </w:trPr>
        <w:tc>
          <w:tcPr>
            <w:shd w:fill="9cc3e5" w:val="clear"/>
          </w:tcPr>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Contenido / Estructuración </w:t>
            </w:r>
          </w:p>
        </w:tc>
      </w:tr>
      <w:tr>
        <w:trPr>
          <w:cantSplit w:val="0"/>
          <w:trHeight w:val="271" w:hRule="atLeast"/>
          <w:tblHeader w:val="0"/>
        </w:trPr>
        <w:tc>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Exponemos a nuestros estudiantes que esas preguntas o esas condiciones se les llama datos y que en matemáticas se cuentan para obtener información de los gustos o preferencias de las personas a la hora de comprar o vender un artículo. Se reparte material visual. Se motiva a estudiantes a reconocer datos y a contarlos ubicándolos en un gráfico o tabla  que pueda ser leído más tarde y obtener información.</w:t>
            </w:r>
          </w:p>
          <w:p w:rsidR="00000000" w:rsidDel="00000000" w:rsidP="00000000" w:rsidRDefault="00000000" w:rsidRPr="00000000" w14:paraId="00000034">
            <w:pPr>
              <w:rPr>
                <w:rFonts w:ascii="Arial Black" w:cs="Arial Black" w:eastAsia="Arial Black" w:hAnsi="Arial Black"/>
              </w:rPr>
            </w:pPr>
            <w:r w:rsidDel="00000000" w:rsidR="00000000" w:rsidRPr="00000000">
              <w:rPr>
                <w:rFonts w:ascii="Arial Black" w:cs="Arial Black" w:eastAsia="Arial Black" w:hAnsi="Arial Black"/>
                <w:rtl w:val="0"/>
              </w:rPr>
              <w:t xml:space="preserve">10 minutos</w:t>
            </w:r>
          </w:p>
        </w:tc>
      </w:tr>
      <w:tr>
        <w:trPr>
          <w:cantSplit w:val="0"/>
          <w:trHeight w:val="271" w:hRule="atLeast"/>
          <w:tblHeader w:val="0"/>
        </w:trPr>
        <w:tc>
          <w:tcPr>
            <w:shd w:fill="9cc3e5" w:val="clear"/>
          </w:tcPr>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Práctica / Transferencia </w:t>
            </w:r>
          </w:p>
        </w:tc>
      </w:tr>
      <w:tr>
        <w:trPr>
          <w:cantSplit w:val="0"/>
          <w:trHeight w:val="271" w:hRule="atLeast"/>
          <w:tblHeader w:val="0"/>
        </w:trPr>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MAR 03/22  Pictogramas I</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MAR 10/22  Pictogramas II</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MAR 17/22  Pictogramas III</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MAR 24/22   Diagrama de Barras.</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MAR 31/22   Diagrama de Barras II</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ABR 07/22  Tabla de datos.</w:t>
            </w:r>
          </w:p>
          <w:p w:rsidR="00000000" w:rsidDel="00000000" w:rsidP="00000000" w:rsidRDefault="00000000" w:rsidRPr="00000000" w14:paraId="0000003C">
            <w:pPr>
              <w:rPr>
                <w:rFonts w:ascii="Arial Black" w:cs="Arial Black" w:eastAsia="Arial Black" w:hAnsi="Arial Black"/>
              </w:rPr>
            </w:pPr>
            <w:r w:rsidDel="00000000" w:rsidR="00000000" w:rsidRPr="00000000">
              <w:rPr>
                <w:rFonts w:ascii="Arial Black" w:cs="Arial Black" w:eastAsia="Arial Black" w:hAnsi="Arial Black"/>
                <w:rtl w:val="0"/>
              </w:rPr>
              <w:t xml:space="preserve">45 minutos cada Actividad.</w:t>
            </w:r>
          </w:p>
        </w:tc>
      </w:tr>
      <w:tr>
        <w:trPr>
          <w:cantSplit w:val="0"/>
          <w:trHeight w:val="271" w:hRule="atLeast"/>
          <w:tblHeader w:val="0"/>
        </w:trPr>
        <w:tc>
          <w:tcPr>
            <w:tcBorders>
              <w:bottom w:color="000000" w:space="0" w:sz="4" w:val="single"/>
            </w:tcBorders>
            <w:shd w:fill="9cc3e5" w:val="clear"/>
          </w:tcPr>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Descripción de la Evaluación y Valoración / cierre</w:t>
            </w:r>
          </w:p>
        </w:tc>
      </w:tr>
      <w:tr>
        <w:trPr>
          <w:cantSplit w:val="0"/>
          <w:trHeight w:val="271" w:hRule="atLeast"/>
          <w:tblHeader w:val="0"/>
        </w:trPr>
        <w:tc>
          <w:tcPr>
            <w:tcBorders>
              <w:bottom w:color="000000" w:space="0" w:sz="4" w:val="single"/>
            </w:tcBorders>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La evaluación corresponde a verificar la realización de seis (6) actividades incluidas en las fotocopias dadas a los estudiantes. La valoración corresponde a 1.5 puntos por cada actividad realizada de forma correcta.  Más un (1) punto por Asistencia. Se tomará una nota por las seis semanas.</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_____________________________</w:t>
      </w:r>
    </w:p>
    <w:p w:rsidR="00000000" w:rsidDel="00000000" w:rsidP="00000000" w:rsidRDefault="00000000" w:rsidRPr="00000000" w14:paraId="00000041">
      <w:pPr>
        <w:rPr/>
      </w:pPr>
      <w:r w:rsidDel="00000000" w:rsidR="00000000" w:rsidRPr="00000000">
        <w:rPr>
          <w:rtl w:val="0"/>
        </w:rPr>
        <w:t xml:space="preserve">Manuel Francisco García Guerra </w:t>
      </w:r>
    </w:p>
    <w:p w:rsidR="00000000" w:rsidDel="00000000" w:rsidP="00000000" w:rsidRDefault="00000000" w:rsidRPr="00000000" w14:paraId="00000042">
      <w:pPr>
        <w:rPr/>
      </w:pPr>
      <w:bookmarkStart w:colFirst="0" w:colLast="0" w:name="_gjdgxs" w:id="0"/>
      <w:bookmarkEnd w:id="0"/>
      <w:r w:rsidDel="00000000" w:rsidR="00000000" w:rsidRPr="00000000">
        <w:rPr>
          <w:rtl w:val="0"/>
        </w:rPr>
        <w:t xml:space="preserve">DOCENTE PRIMARIA GRADO 3 SEDE 1 IEATANSM – Cicuquito 2023</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Black"/>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