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__01_______2023 PERIODO: _01_____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_Rico Bastidas Camilo     ________________________________________________GRADO:704 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_Competencias Ciudadanas________________________DOCENTE: _Anibal Herrera Benavides___________________________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__31 05 2023____________ACUDIENTE: _____________________________________________________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Reconoce que las personas tenemos derecho a no ser discriminados,a la luz de la declaracion de los derechos humanos y de la costitucion nacional de colombia de 1991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El estudiante no presento la totalidad de las actividades propuestas en el periodo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El estudiante reamizara actividades re lacionadas lecturas de textos en donde el podra expresar sus puntos de vista y sutentarlos posteriormente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